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B7" w:rsidRDefault="00024146" w:rsidP="001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47704"/>
            <wp:effectExtent l="0" t="0" r="5080" b="1270"/>
            <wp:docPr id="2" name="Рисунок 2" descr="C:\Users\User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F8" w:rsidRDefault="00166FF8" w:rsidP="001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FF8" w:rsidRDefault="00166FF8" w:rsidP="001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FF8" w:rsidRDefault="00166FF8" w:rsidP="001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30B7" w:rsidRDefault="00024146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430B7" w:rsidRDefault="00024146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</w:p>
    <w:p w:rsidR="003430B7" w:rsidRDefault="00024146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430B7" w:rsidRDefault="00024146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Э.Ш.</w:t>
      </w:r>
    </w:p>
    <w:p w:rsidR="003430B7" w:rsidRDefault="00024146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03.02.2020г.</w:t>
      </w:r>
    </w:p>
    <w:p w:rsidR="003430B7" w:rsidRDefault="003430B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430B7" w:rsidRDefault="00024146">
      <w:pPr>
        <w:tabs>
          <w:tab w:val="left" w:pos="66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обращений граждан</w:t>
      </w:r>
    </w:p>
    <w:p w:rsidR="003430B7" w:rsidRDefault="00024146">
      <w:pPr>
        <w:tabs>
          <w:tab w:val="left" w:pos="66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Донгаронского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30B7" w:rsidRDefault="00024146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Общие положения: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рассмотрения обращений граждан (далее - Положение) разработано в соответствии с Конституцией Российской Федерации, международными договорами Российской Федерации, федеральными конституционными законами. Федеральным законом от 2 мая 2006 года N 59-ФЗ "О порядке рассмотрения обращений граждан Российской Федерации". Положением регулируются правоотношения, связанные с реализацией гражданином Российской Федерации закрепленного за ним Конституцией Российской Федерации права обращения в органы местного самоуправления -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Устанавливается порядок рассмотрения обращений граждан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 также ведения делопроизводства по ним.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Учет письменных и устных обращений граждан, поступающих на имя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выполняет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Делопроизводство по обращениям граждан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ведется отдельно от других видов делопроизводства.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Право граждан на обращение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Действие настоящего Положения распространяется на все обращения граждан, за исключением:- обращений, связанных с изобретениями, открытиями, рационализаторскими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предложениями, порядок рассмотрения которых регламентируется федеральным законодательством;- обращений, рассматриваемых в соответствии с Конституцией Российской Федерации и Федеральным конституционным законом от 21 июля 1994 года N 1-ФКЗ "О Конституционном Суде Российской Федерации";- обращений, рассматриваемых в порядке уголовного, гражданского судопроизводства, производства по делам об административных правонарушениях;- обращений, вытекающих из отношений, складывающихся внутри коллективов коммерческих и некоммерческих организаций, общественных объединений, регулируемых нормами федерального законодательства, их уставами и положениями.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Граждане имеют право обращаться лично, в устной форме, а также направлять индивидуальные и коллективные письменные обращения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либо должностным лицам, реализуют право на обращение свободно и добровольно, не нарушая права и свободы других лиц.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обращения выбирается гражданами самостоятельно.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Рассмотрение обращений граждан осуществляется бесплатно.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Основные термины, используемые в настоящем Положении используются следующие основные термины:- обращение гражданина (далее - обращение) - направленное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гражданина;-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общества;-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 и органов местного самоуправления и должностных лиц, либо критика деятельности указанных органов и должностных лиц;-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Права и гарантии безопасности гражданина в связи с рассмотрением его обращения. При рассмотрении обращения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гражданин имеет право: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Получать письменный ответ по существу поставленных в обращении вопросов, за исключением случаев, указанных в пункте 8.1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Обращаться с жалобой на принятое по обращению решение,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Федерации, с заявлением о прекращении рассмотрения обращения.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Гражданину в связи с рассмотрением его обращения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гарантируется неразглашение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письменным обращениям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письменном обращении гражданин в обязательном порядке указывает наименование органа (администрация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в который направляет письменное обращение, либо фамилию, имя, отчество соответствующего должностного лица или его должность, а также свои фамилию, имя, отчество (последнее-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необходимости в подтверждение своих доводов гражданин к письменному обращению прилагает документы и материалы либо их копии. Вложенные в конверты ордена, медали, удостоверения к ним, паспорта, трудовые книжки и оригиналы иных документов, приложенные к обращениям, возвращаются заявителям.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к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VI. Направление и регистрация письменных обращений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Гражданин направляет письменное обращение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должностному лицу, в компетенцию которых входит решение поставленных в обращении вопросов.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Письменное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должностному лицу, подлежит обязательной регистрации в течение трех дней с момента поступления в орган местного самоуправления или должностному лицу. Все поступающие в адрес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письменные обращения граждан принимаются, учитываются, регистрируются специалистом администрации.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Письма граждан с пометкой "лично" после прочтения адресатом, в случае если в них ставятся вопросы, требующие официальных ответов, передаются на регистрацию в установленном порядке.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Письма, переданные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встречах с населением, регистрируются специалистом и направляются исполнителям.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Письменное обращение, содержащее вопросы, решение которых не входит в компетенцию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Запрещается направлять жалобу на рассмотрение тем должностным лицам, действия которых обжалуются.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случае, если в соответствии с запретом, предусмотренным частью 6 статьи 8 Федерального закона от 2 мая 2006 года N 59-ФЗ "О порядке рассмотрения обращений граждан Российской Федерации", невозможно направить жалобу на рассмотрение или в государственный орган, орган местного самоуправления, должностному лицу,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Организация работы с обращениями граждан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должностному лицу в соответствии с их компетенцией, подлежит обязательному рассмотрению.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необходимости поступившее обращение в адрес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должностного лица может быть рассмотрено с выездом на место.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должностные лица администрации сельского поселения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запрашивают, в том числе в электронной форме, необходимые для рассмотрения обращения документы и материалы в других органах и у других должностных лиц, за исключением судов, органов дознания и органов предварительного следствия;- принимают меры, направленные на восстановление или защиту нарушенных прав, свобод и законных интересов гражданина;- дают письменные ответы по существу поставленных в обращении вопросов;- уведомляют гражданина о направлении его обращения на рассмотрение в другой орган или иному должностному лицу в соответствии с их компетенцией. Письменное уведомление заявителю направляется за подписью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Учет, регистрация, ход рассмотрения обращения осуществляются специалистом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использованием журнала регистрации обращений граждан (Приложение No1).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Зарегистрированные письменные обращения граждан передаются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ознакомления и принятия решения. Поручения (резолюции) пишутся в произвольной форме, с четкими и конкретными указаниями по существу вопросов, поставленных в обращениях граждан.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Если поручение по заявлению дано нескольким должностным лицам, а ответственный исполнитель не выделен, то работу по рассмотрению обращения координирует исполнитель, указанный первым в резолюции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Ответственный исполнитель по результатам рассмотрения обращения готовит ответ заявителю. Ответ на обращение подписывается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Орган местного самоуправления или должностное лицо по направленному в установленном порядке запросу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Обращения граждан после их рассмотрения исполнителями возвращаются со всеми относящимися к ним материалами (оформленными "В дело"), в том числе с ответом заявителю,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Ответы должны содержать конкретную и четкую информацию по всем вопросам, поставленным в обращении граждан. Если дается промежуточный ответ, то указывается срок окончательного решения поставленного вопроса. Ответы, подготовленные на основании правовых документов, должны содержать реквизиты этих документов с указанием даты и наименования. Ответ на коллективное обращение отправляется на имя первого подписавшего его лица, если в письме не оговорено конкретное лицо, кому подлежит дать ответ.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обращение, поступившее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Порядок визирования подготовленных ответов на обращение граждан за подписью главы администрации сельского поселения устанавливается следующий: на втором экземпляре ответа заявителю в левом нижнем углу указываются фамилия исполнителя и номер его служебного телефона.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7.12. На каждом обращении после окончательного решения и его исполнения должны быть отметка об исполнении "В дело", дата и личная подпись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принявшего это решение. Предложения, заявления и жалобы, копии ответов на них и документы, связанные с их разрешением, а также документы по личному приему граждан формируются в дело в соответствии с утвержденной номенклатурой дел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Документы в этих делах располагаются в хронологическом порядке. Каждое предложение, заявление, жалоба и все документы по их рассмотрению и разрешению составляют в деле самостоятельную группу. При формировании дел проверяется правильность направления документов в дело, их полнота (комплектность). Неразрешенные предложения, заявления и жалобы граждан, а также неправильно оформленные документы подшивать в дело запрещается.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Порядок рассмотрения отдельных видов обращений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принимается решение о списании данного обращения "В дело".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государственной власти в соответствии с его компетенцией.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 получении письменного обращения, в котором содержатся нецензурные, либо оскорбительные выражения, угрозы жизни, здоровью или имуществу должностного лица, а также членов его семьи,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оставить обращения без ответа по существу поставленных в нем вопросов и сообщить гражданину, направившему обращение, о недопустимости злоупотребления правом.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принимается решение о списании данного обращения "В дело".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 в течение семи дней со дня регистрации обращения.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 При работе с повторными обращениями специалистом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формируется дело с уже имеющимися ранее документами по обращениям данного заявителя.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 данном решении уведомляется гражданин, направивший обращение.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В случае,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поставленного в нём вопроса в связи с недопустимостью разглашения указанных сведений.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принимается решение о списании данного обращения "В дело".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8.8. Письменные обращения, переданные на личном приеме граждан,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рассматриваются как обычные обращения. Авторам направляются сообщения о порядке личного приема граждан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Их заявления оформляются "В дело" как исполненные.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Обращения граждан, поступившие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средств массовой информации, рассматриваются в порядке и сроки, предусмотренные настоящим Положением.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IX. Сроки рассмотрения обращений и уведомление заявителей.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Обращения, поступившие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рассматриваются в течение 15 дней со дня их регистрации, если иной срок (меньший) не установлен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тех случаях, когда для разрешения обращений необходимо проведение специальной проверки, истребование дополнительных материалов, направление запросов либо принятие других мер, сроки рассмотрения обращений, в порядке исключения, могут быть продлены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более чем на 30 дней с уведомлением об этом заявителя, если таковым затребованы результаты рассмотрения. Продление срока оформляется исполнителями не менее чем за пять дней до истечения срока рассмотрения обращения прочтению.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принимается решение о списании данного обращения "В дело".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Работа с обращениями, поставленными на контроль.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переданные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его встречах с населением, направленные в адрес главы из федеральных органов государственной власти, (далее - вышестоящие органы государственной власти), как правило, ставятся на контроль (далее - контрольные обращения).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 контрольных обращениях специалистом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проставляется запись "Контроль". Контроль за ходом и сроками рассмотрения осуществляется специалистом.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Контрольные обращения граждан, поступившие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вышестоящих органов государственной власти, после регистрации передаются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принятия решений по организации их рассмотрения, подготовки ответов в вышестоящие органы государственной власти.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Должностное лицо-исполнитель в установленные сроки рассматривает контрольное обращение, информирует о результатах главу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готовит ответ заявителю. В письмах вышестоящих государственных органов власти содержатся просьбы проинформировать их о результатах рассмотрения обращений граждан, то исполнитель готовит ответ и им. Как правило, эти ответы подписываются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 Письменные обращения, на которые даются промежуточные ответы, с контроля не снимаются. Контроль завершается только после принятия исчерпывающих мер по разрешению предложения, заявления, жалобы. Решение о снятии с контроля принимает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Требования к содержанию и оформлению ответов (справок) на контрольные обращения: - ответы должны содержать конкретную и четкую информацию по всем вопросам, поставленным в обращениях граждан; 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 - в ответе должно быть указано о том, что заявитель в той или иной форме проинформирован о результатах рассмотрения.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XI. Организация работы по личному приему граждан.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Личный прием граждан сельского поселения осуществляет;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приема, а также об установленных для приема днях и часах доводится до сведения граждан.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 вопросам, не входящим в компетенцию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заявителям рекомендуется обратиться в соответствующие органы, учреждения, организации.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При личном приеме гражданин предъявляет документ, удостоверяющий его личность. Если гражданин представляет интересы другого лица по вопросам, входящим в компетенцию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то кроме документа, удостоверяющего личность, он предъявляет документ, удостоверяющий его право действовать от имени представляемого лица, оформленный в соответствии с законодательством РФ.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Порядок рассмотрения устных обращений, уведомления заявителей о результатах их рассмотрения, списания "В дело" устанавливается такой же порядок, как для письменных обращений.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Содержание устного обращения заносится в Журнал учета приема граждан по форме приложению N 2 к настоящему Положению.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приема граждан. В остальных случаях дается письменный ответ по существу поставленных в обращении вопросов.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повторных обращениях подбираются имеющиеся материалы по делу заявителя (архивный материал).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Контроль за исполнением поручений по устным обращениям осуществляет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Поступившие ответы о принятых мерах направляются для ознакомления должностному лицу, осуществлявшему прием.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Должностное лицо, как правило, не может перепоручить подчиненному вести прием граждан вместо себя.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XII. Хранение материалов по обращениям граждан.</w:t>
      </w:r>
    </w:p>
    <w:p w:rsidR="003430B7" w:rsidRDefault="0002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Ответственность за сохранность документов по обращениям граждан возлагается на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0B7" w:rsidRDefault="003430B7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3430B7" w:rsidRDefault="00024146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№1</w:t>
      </w:r>
    </w:p>
    <w:p w:rsidR="003430B7" w:rsidRDefault="003430B7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3430B7" w:rsidRDefault="00024146">
      <w:pPr>
        <w:tabs>
          <w:tab w:val="left" w:pos="10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Журнал учета письменных обращений граждан</w:t>
      </w:r>
    </w:p>
    <w:p w:rsidR="003430B7" w:rsidRDefault="00024146">
      <w:pPr>
        <w:tabs>
          <w:tab w:val="left" w:pos="10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065" w:type="dxa"/>
        <w:tblInd w:w="-289" w:type="dxa"/>
        <w:tblLook w:val="04A0" w:firstRow="1" w:lastRow="0" w:firstColumn="1" w:lastColumn="0" w:noHBand="0" w:noVBand="1"/>
      </w:tblPr>
      <w:tblGrid>
        <w:gridCol w:w="550"/>
        <w:gridCol w:w="1518"/>
        <w:gridCol w:w="1824"/>
        <w:gridCol w:w="960"/>
        <w:gridCol w:w="1516"/>
        <w:gridCol w:w="1803"/>
        <w:gridCol w:w="1894"/>
      </w:tblGrid>
      <w:tr w:rsidR="003430B7">
        <w:tc>
          <w:tcPr>
            <w:tcW w:w="565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899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заявителя, его 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(телефон)</w:t>
            </w:r>
          </w:p>
        </w:tc>
        <w:tc>
          <w:tcPr>
            <w:tcW w:w="967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листов</w:t>
            </w:r>
          </w:p>
        </w:tc>
        <w:tc>
          <w:tcPr>
            <w:tcW w:w="1528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обращении</w:t>
            </w:r>
          </w:p>
        </w:tc>
        <w:tc>
          <w:tcPr>
            <w:tcW w:w="1848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кому доложено, указание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(резолюция) срок исполнения</w:t>
            </w:r>
          </w:p>
        </w:tc>
        <w:tc>
          <w:tcPr>
            <w:tcW w:w="1981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Кому передано. Куда направлен ответ </w:t>
            </w:r>
          </w:p>
        </w:tc>
      </w:tr>
      <w:tr w:rsidR="003430B7">
        <w:tc>
          <w:tcPr>
            <w:tcW w:w="565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430B7" w:rsidRDefault="0002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3430B7" w:rsidRDefault="0002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0B7">
        <w:tc>
          <w:tcPr>
            <w:tcW w:w="565" w:type="dxa"/>
          </w:tcPr>
          <w:p w:rsidR="003430B7" w:rsidRDefault="003430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430B7" w:rsidRDefault="003430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3430B7" w:rsidRDefault="003430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</w:tcPr>
          <w:p w:rsidR="003430B7" w:rsidRDefault="003430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3430B7" w:rsidRDefault="003430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3430B7" w:rsidRDefault="003430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3430B7" w:rsidRDefault="003430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3430B7">
      <w:pPr>
        <w:rPr>
          <w:rFonts w:ascii="Times New Roman" w:hAnsi="Times New Roman" w:cs="Times New Roman"/>
          <w:sz w:val="26"/>
          <w:szCs w:val="26"/>
        </w:rPr>
      </w:pPr>
    </w:p>
    <w:p w:rsidR="003430B7" w:rsidRDefault="0002414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№2</w:t>
      </w:r>
    </w:p>
    <w:p w:rsidR="003430B7" w:rsidRDefault="003430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30B7" w:rsidRDefault="00024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ЖУРНАЛ</w:t>
      </w:r>
    </w:p>
    <w:p w:rsidR="003430B7" w:rsidRDefault="00024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приема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30B7" w:rsidRDefault="003430B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9912" w:type="dxa"/>
        <w:tblLook w:val="04A0" w:firstRow="1" w:lastRow="0" w:firstColumn="1" w:lastColumn="0" w:noHBand="0" w:noVBand="1"/>
      </w:tblPr>
      <w:tblGrid>
        <w:gridCol w:w="448"/>
        <w:gridCol w:w="1107"/>
        <w:gridCol w:w="1416"/>
        <w:gridCol w:w="2269"/>
        <w:gridCol w:w="1427"/>
        <w:gridCol w:w="1837"/>
        <w:gridCol w:w="1408"/>
      </w:tblGrid>
      <w:tr w:rsidR="003430B7">
        <w:tc>
          <w:tcPr>
            <w:tcW w:w="447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7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416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посетителя</w:t>
            </w:r>
          </w:p>
        </w:tc>
        <w:tc>
          <w:tcPr>
            <w:tcW w:w="2269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Адрес. Профессия, место работы, должность и др. сведения о посетителе</w:t>
            </w:r>
          </w:p>
        </w:tc>
        <w:tc>
          <w:tcPr>
            <w:tcW w:w="1427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обращения, его краткое содержание</w:t>
            </w:r>
          </w:p>
        </w:tc>
        <w:tc>
          <w:tcPr>
            <w:tcW w:w="1837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принято решение, кому поручено, ответ заявителя</w:t>
            </w:r>
          </w:p>
        </w:tc>
        <w:tc>
          <w:tcPr>
            <w:tcW w:w="1408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принимал (фамилия) подпись</w:t>
            </w:r>
          </w:p>
        </w:tc>
      </w:tr>
      <w:tr w:rsidR="003430B7">
        <w:tc>
          <w:tcPr>
            <w:tcW w:w="447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3430B7" w:rsidRDefault="0002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0B7">
        <w:tc>
          <w:tcPr>
            <w:tcW w:w="447" w:type="dxa"/>
          </w:tcPr>
          <w:p w:rsidR="003430B7" w:rsidRDefault="00343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3430B7" w:rsidRDefault="00343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430B7" w:rsidRDefault="00343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30B7" w:rsidRDefault="00343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430B7" w:rsidRDefault="00343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430B7" w:rsidRDefault="00343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430B7" w:rsidRDefault="00343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B7" w:rsidRDefault="003430B7">
      <w:pPr>
        <w:rPr>
          <w:rFonts w:ascii="Times New Roman" w:hAnsi="Times New Roman" w:cs="Times New Roman"/>
          <w:sz w:val="32"/>
          <w:szCs w:val="32"/>
        </w:rPr>
      </w:pPr>
    </w:p>
    <w:sectPr w:rsidR="003430B7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983"/>
    <w:multiLevelType w:val="multilevel"/>
    <w:tmpl w:val="C938F11E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18505D9"/>
    <w:multiLevelType w:val="multilevel"/>
    <w:tmpl w:val="11288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B7"/>
    <w:rsid w:val="00024146"/>
    <w:rsid w:val="00166FF8"/>
    <w:rsid w:val="0034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F033B-E366-466C-B27F-BB175F3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8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27889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E82C47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87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3766</Words>
  <Characters>21471</Characters>
  <Application>Microsoft Office Word</Application>
  <DocSecurity>4</DocSecurity>
  <Lines>178</Lines>
  <Paragraphs>50</Paragraphs>
  <ScaleCrop>false</ScaleCrop>
  <Company>SPecialiST RePack</Company>
  <LinksUpToDate>false</LinksUpToDate>
  <CharactersWithSpaces>25187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2022-03-09T05:14:00Z</dcterms:created>
  <dcterms:modified xsi:type="dcterms:W3CDTF">2022-03-09T05:14:00Z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