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1" w:rsidRPr="00E523B1" w:rsidRDefault="00130A53" w:rsidP="00E5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3B1" w:rsidRPr="00E523B1" w:rsidRDefault="00E523B1" w:rsidP="00E5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AB" w:rsidRDefault="00F37336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42F167B" wp14:editId="6D7E2EB1">
                <wp:simplePos x="0" y="0"/>
                <wp:positionH relativeFrom="column">
                  <wp:posOffset>-236855</wp:posOffset>
                </wp:positionH>
                <wp:positionV relativeFrom="paragraph">
                  <wp:posOffset>2395220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0B3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65pt,188.6pt" to="492.5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" o:allowincell="f" strokecolor="blue" strokeweight="1.5pt"/>
            </w:pict>
          </mc:Fallback>
        </mc:AlternateContent>
      </w:r>
      <w:r w:rsidRPr="00E547A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437373" wp14:editId="1BB0DD12">
                <wp:simplePos x="0" y="0"/>
                <wp:positionH relativeFrom="column">
                  <wp:posOffset>-154305</wp:posOffset>
                </wp:positionH>
                <wp:positionV relativeFrom="paragraph">
                  <wp:posOffset>2491105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8AC9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96.15pt" to="499.0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" o:allowincell="f" strokecolor="blue" strokeweight=".25pt"/>
            </w:pict>
          </mc:Fallback>
        </mc:AlternateContent>
      </w:r>
    </w:p>
    <w:tbl>
      <w:tblPr>
        <w:tblW w:w="10206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0672AB" w:rsidRPr="003D790F" w:rsidTr="00203385">
        <w:trPr>
          <w:trHeight w:val="3052"/>
        </w:trPr>
        <w:tc>
          <w:tcPr>
            <w:tcW w:w="4077" w:type="dxa"/>
            <w:tcBorders>
              <w:top w:val="nil"/>
              <w:right w:val="nil"/>
            </w:tcBorders>
          </w:tcPr>
          <w:p w:rsidR="000672AB" w:rsidRPr="00A34D00" w:rsidRDefault="000672AB" w:rsidP="000672AB">
            <w:pPr>
              <w:spacing w:after="0"/>
              <w:rPr>
                <w:color w:val="0000FF"/>
              </w:rPr>
            </w:pPr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Уæрæсейы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Федераци</w:t>
            </w:r>
            <w:proofErr w:type="spellEnd"/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Республикæ</w:t>
            </w:r>
            <w:proofErr w:type="spellEnd"/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Цæгат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Ирыстон</w:t>
            </w:r>
            <w:proofErr w:type="spellEnd"/>
            <w:r w:rsidRPr="003D790F">
              <w:rPr>
                <w:color w:val="0000FF"/>
              </w:rPr>
              <w:t xml:space="preserve"> – </w:t>
            </w:r>
            <w:proofErr w:type="spellStart"/>
            <w:r w:rsidRPr="003D790F">
              <w:rPr>
                <w:color w:val="0000FF"/>
              </w:rPr>
              <w:t>Алани</w:t>
            </w:r>
            <w:proofErr w:type="spellEnd"/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</w:p>
          <w:p w:rsidR="000672AB" w:rsidRPr="003D790F" w:rsidRDefault="000672AB" w:rsidP="000672AB">
            <w:pPr>
              <w:keepNext/>
              <w:spacing w:after="0"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Горæтгæрон</w:t>
            </w:r>
            <w:proofErr w:type="spellEnd"/>
            <w:r w:rsidRPr="003D790F">
              <w:rPr>
                <w:color w:val="0000FF"/>
              </w:rPr>
              <w:t xml:space="preserve"> районы </w:t>
            </w:r>
          </w:p>
          <w:p w:rsidR="000672AB" w:rsidRPr="003D790F" w:rsidRDefault="000672AB" w:rsidP="000672AB">
            <w:pPr>
              <w:keepNext/>
              <w:spacing w:after="0"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Донгæроны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хъæуы</w:t>
            </w:r>
            <w:proofErr w:type="spellEnd"/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</w:rPr>
              <w:t>бын</w:t>
            </w:r>
            <w:proofErr w:type="gramEnd"/>
            <w:r w:rsidRPr="003D790F">
              <w:rPr>
                <w:color w:val="0000FF"/>
              </w:rPr>
              <w:t>æттон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хиуынаффæйады</w:t>
            </w:r>
            <w:proofErr w:type="spellEnd"/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72AB" w:rsidRPr="003D790F" w:rsidRDefault="000672AB" w:rsidP="000672AB">
            <w:pPr>
              <w:spacing w:after="0"/>
              <w:ind w:left="-4185" w:right="993" w:firstLine="4185"/>
              <w:jc w:val="center"/>
            </w:pPr>
          </w:p>
          <w:p w:rsidR="000672AB" w:rsidRPr="003D790F" w:rsidRDefault="000672AB" w:rsidP="000672AB">
            <w:pPr>
              <w:spacing w:after="0"/>
              <w:jc w:val="center"/>
            </w:pPr>
          </w:p>
          <w:p w:rsidR="000672AB" w:rsidRPr="003D790F" w:rsidRDefault="000672AB" w:rsidP="000672AB">
            <w:pPr>
              <w:tabs>
                <w:tab w:val="left" w:pos="225"/>
                <w:tab w:val="center" w:pos="955"/>
              </w:tabs>
              <w:spacing w:after="0"/>
            </w:pPr>
            <w:r w:rsidRPr="003D790F">
              <w:rPr>
                <w:noProof/>
              </w:rPr>
              <w:tab/>
            </w:r>
            <w:r w:rsidRPr="003D790F">
              <w:rPr>
                <w:noProof/>
              </w:rPr>
              <w:tab/>
            </w:r>
            <w:r w:rsidRPr="00724D3E">
              <w:rPr>
                <w:noProof/>
                <w:lang w:eastAsia="ru-RU"/>
              </w:rPr>
              <w:drawing>
                <wp:inline distT="0" distB="0" distL="0" distR="0" wp14:anchorId="41925447" wp14:editId="25B7EFA7">
                  <wp:extent cx="690880" cy="690880"/>
                  <wp:effectExtent l="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Российская Федерация</w:t>
            </w:r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Республика</w:t>
            </w:r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Северная Осетия – Алания</w:t>
            </w:r>
          </w:p>
          <w:p w:rsidR="000672AB" w:rsidRPr="003D790F" w:rsidRDefault="000672AB" w:rsidP="000672AB">
            <w:pPr>
              <w:spacing w:after="0"/>
              <w:jc w:val="center"/>
              <w:rPr>
                <w:color w:val="0000FF"/>
              </w:rPr>
            </w:pPr>
          </w:p>
          <w:p w:rsidR="000672AB" w:rsidRPr="003D790F" w:rsidRDefault="000672AB" w:rsidP="000672AB">
            <w:pPr>
              <w:keepNext/>
              <w:spacing w:after="0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Администрация местного </w:t>
            </w:r>
          </w:p>
          <w:p w:rsidR="000672AB" w:rsidRPr="003D790F" w:rsidRDefault="000672AB" w:rsidP="000672AB">
            <w:pPr>
              <w:keepNext/>
              <w:spacing w:after="0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</w:t>
            </w:r>
            <w:proofErr w:type="gramStart"/>
            <w:r w:rsidRPr="003D790F">
              <w:rPr>
                <w:color w:val="0000FF"/>
              </w:rPr>
              <w:t>самоуправления</w:t>
            </w:r>
            <w:proofErr w:type="gramEnd"/>
          </w:p>
          <w:p w:rsidR="000672AB" w:rsidRPr="003D790F" w:rsidRDefault="000672AB" w:rsidP="000672AB">
            <w:pPr>
              <w:keepNext/>
              <w:spacing w:after="0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</w:t>
            </w:r>
            <w:proofErr w:type="spellStart"/>
            <w:r w:rsidRPr="003D790F">
              <w:rPr>
                <w:color w:val="0000FF"/>
              </w:rPr>
              <w:t>Донгаронского</w:t>
            </w:r>
            <w:proofErr w:type="spellEnd"/>
            <w:r w:rsidRPr="003D790F">
              <w:rPr>
                <w:color w:val="0000FF"/>
              </w:rPr>
              <w:t xml:space="preserve"> сельского</w:t>
            </w:r>
          </w:p>
          <w:p w:rsidR="000672AB" w:rsidRPr="003D790F" w:rsidRDefault="000672AB" w:rsidP="000672AB">
            <w:pPr>
              <w:keepNext/>
              <w:spacing w:after="0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Поселения Пригородного </w:t>
            </w:r>
          </w:p>
          <w:p w:rsidR="000672AB" w:rsidRPr="003D790F" w:rsidRDefault="000672AB" w:rsidP="000672AB">
            <w:pPr>
              <w:keepNext/>
              <w:spacing w:after="0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       </w:t>
            </w:r>
            <w:proofErr w:type="gramStart"/>
            <w:r w:rsidRPr="003D790F">
              <w:rPr>
                <w:color w:val="0000FF"/>
              </w:rPr>
              <w:t>района</w:t>
            </w:r>
            <w:proofErr w:type="gramEnd"/>
          </w:p>
          <w:p w:rsidR="000672AB" w:rsidRPr="003D790F" w:rsidRDefault="000672AB" w:rsidP="000672AB">
            <w:pPr>
              <w:keepNext/>
              <w:spacing w:after="0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</w:t>
            </w:r>
          </w:p>
        </w:tc>
      </w:tr>
    </w:tbl>
    <w:p w:rsidR="000672AB" w:rsidRPr="003959E0" w:rsidRDefault="000672AB" w:rsidP="00F37336">
      <w:pPr>
        <w:spacing w:after="0"/>
        <w:ind w:left="851" w:hanging="1560"/>
        <w:jc w:val="center"/>
      </w:pPr>
      <w:r w:rsidRPr="003D790F">
        <w:rPr>
          <w:color w:val="0000FF"/>
        </w:rPr>
        <w:t xml:space="preserve">  </w:t>
      </w:r>
      <w:r>
        <w:rPr>
          <w:color w:val="0000FF"/>
        </w:rPr>
        <w:t xml:space="preserve">  </w:t>
      </w:r>
      <w:r w:rsidRPr="003D790F">
        <w:rPr>
          <w:color w:val="0000FF"/>
        </w:rPr>
        <w:t xml:space="preserve">363101, Республика Северная Осетия – Алания, с. </w:t>
      </w:r>
      <w:proofErr w:type="spellStart"/>
      <w:r w:rsidRPr="003D790F">
        <w:rPr>
          <w:color w:val="0000FF"/>
        </w:rPr>
        <w:t>Донгарон</w:t>
      </w:r>
      <w:proofErr w:type="spellEnd"/>
      <w:r w:rsidRPr="003D790F">
        <w:rPr>
          <w:color w:val="0000FF"/>
        </w:rPr>
        <w:t xml:space="preserve">, ул. Кирова, 5; тел./ факс: 8(86738) 2-21-86; </w:t>
      </w:r>
    </w:p>
    <w:p w:rsidR="000672AB" w:rsidRPr="003B4AEC" w:rsidRDefault="000672AB" w:rsidP="000672AB">
      <w:pPr>
        <w:spacing w:after="0"/>
        <w:jc w:val="center"/>
      </w:pPr>
      <w:r w:rsidRPr="003B4AEC">
        <w:rPr>
          <w:color w:val="0000FF"/>
          <w:u w:val="single"/>
        </w:rPr>
        <w:t xml:space="preserve">  </w:t>
      </w:r>
      <w:hyperlink r:id="rId5" w:history="1">
        <w:r w:rsidRPr="003D790F">
          <w:rPr>
            <w:rStyle w:val="a3"/>
            <w:lang w:val="en-US"/>
          </w:rPr>
          <w:t>http</w:t>
        </w:r>
        <w:r w:rsidRPr="003B4AEC">
          <w:rPr>
            <w:rStyle w:val="a3"/>
          </w:rPr>
          <w:t>://</w:t>
        </w:r>
        <w:r w:rsidRPr="003D790F">
          <w:rPr>
            <w:rStyle w:val="a3"/>
            <w:lang w:val="en-US"/>
          </w:rPr>
          <w:t>www</w:t>
        </w:r>
        <w:r w:rsidRPr="003B4AEC">
          <w:rPr>
            <w:rStyle w:val="a3"/>
          </w:rPr>
          <w:t>.</w:t>
        </w:r>
        <w:r w:rsidRPr="003D790F">
          <w:rPr>
            <w:rStyle w:val="a3"/>
            <w:lang w:val="en-US"/>
          </w:rPr>
          <w:t>amsdongaron</w:t>
        </w:r>
        <w:r w:rsidRPr="003B4AEC">
          <w:rPr>
            <w:rStyle w:val="a3"/>
          </w:rPr>
          <w:t>.</w:t>
        </w:r>
        <w:r w:rsidRPr="003D790F">
          <w:rPr>
            <w:rStyle w:val="a3"/>
            <w:lang w:val="en-US"/>
          </w:rPr>
          <w:t>ru</w:t>
        </w:r>
      </w:hyperlink>
      <w:r w:rsidRPr="003B4AEC">
        <w:rPr>
          <w:color w:val="0000FF"/>
        </w:rPr>
        <w:t xml:space="preserve">, </w:t>
      </w:r>
      <w:r w:rsidRPr="003D790F">
        <w:rPr>
          <w:color w:val="0000FF"/>
          <w:lang w:val="en-US"/>
        </w:rPr>
        <w:t>e</w:t>
      </w:r>
      <w:r w:rsidRPr="003B4AEC">
        <w:rPr>
          <w:color w:val="0000FF"/>
        </w:rPr>
        <w:t>-</w:t>
      </w:r>
      <w:r w:rsidRPr="003D790F">
        <w:rPr>
          <w:color w:val="0000FF"/>
          <w:lang w:val="en-US"/>
        </w:rPr>
        <w:t>mail</w:t>
      </w:r>
      <w:r w:rsidRPr="003B4AEC">
        <w:rPr>
          <w:color w:val="0000FF"/>
        </w:rPr>
        <w:t xml:space="preserve">: </w:t>
      </w:r>
      <w:r w:rsidRPr="003D790F">
        <w:rPr>
          <w:color w:val="0000FF"/>
          <w:lang w:val="en-US"/>
        </w:rPr>
        <w:t>dongarond</w:t>
      </w:r>
      <w:r w:rsidRPr="003B4AEC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 w:rsidRPr="003B4AEC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3B4AEC">
        <w:rPr>
          <w:sz w:val="28"/>
          <w:szCs w:val="28"/>
        </w:rPr>
        <w:t xml:space="preserve">                                                </w:t>
      </w:r>
    </w:p>
    <w:p w:rsidR="00E523B1" w:rsidRPr="00E523B1" w:rsidRDefault="00130A53" w:rsidP="00BF7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3B1" w:rsidRPr="00E523B1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6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№32</w:t>
      </w:r>
    </w:p>
    <w:p w:rsidR="00E523B1" w:rsidRPr="00E523B1" w:rsidRDefault="000672AB" w:rsidP="00203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</w:t>
      </w:r>
      <w:r w:rsidR="006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 </w:t>
      </w:r>
      <w:r w:rsidR="00E523B1"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3B1" w:rsidRPr="00E523B1" w:rsidRDefault="00E523B1" w:rsidP="00203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</w:t>
      </w:r>
      <w:r w:rsidR="002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«Развитие коммунальной </w:t>
      </w:r>
      <w:proofErr w:type="gramStart"/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proofErr w:type="gramEnd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2020-2024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 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385" w:rsidRDefault="00E523B1" w:rsidP="0020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государственной программы «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жилищно-коммунального обслуживания </w:t>
      </w:r>
      <w:proofErr w:type="gramStart"/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proofErr w:type="gramEnd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и надежности предоставления коммунальных услуг администрация 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Пригородного 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672AB" w:rsidRDefault="00E523B1" w:rsidP="0020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муниципальную программу «Развитие коммунальной инфраструктуры</w:t>
      </w:r>
      <w:r w:rsidR="002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 w:rsidR="002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Пригородного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2020-2024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данного постановления </w:t>
      </w:r>
      <w:r w:rsidR="00130A53"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 на себя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постановление вступает в силу после его </w:t>
      </w:r>
      <w:r w:rsidR="0020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подписания.</w:t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72AB" w:rsidRDefault="000672AB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53" w:rsidRDefault="00E523B1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proofErr w:type="gramEnd"/>
      <w:r w:rsidR="0013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3B1" w:rsidRPr="00E523B1" w:rsidRDefault="00130A53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</w:t>
      </w:r>
    </w:p>
    <w:p w:rsidR="00E523B1" w:rsidRDefault="00E523B1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F5322" w:rsidRDefault="006F5322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22" w:rsidRPr="00042D3D" w:rsidRDefault="006F5322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3B1" w:rsidRDefault="00E523B1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УТВЕРЖДЕНА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постановлением</w:t>
      </w:r>
      <w:r w:rsidRPr="00042D3D">
        <w:rPr>
          <w:rFonts w:ascii="Times New Roman" w:eastAsia="Times New Roman" w:hAnsi="Times New Roman" w:cs="Times New Roman"/>
          <w:lang w:eastAsia="ru-RU"/>
        </w:rPr>
        <w:br/>
      </w:r>
      <w:r w:rsidR="000672AB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72AB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0672AB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0672AB" w:rsidRPr="00042D3D">
        <w:rPr>
          <w:rFonts w:ascii="Times New Roman" w:eastAsia="Times New Roman" w:hAnsi="Times New Roman" w:cs="Times New Roman"/>
          <w:lang w:eastAsia="ru-RU"/>
        </w:rPr>
        <w:br/>
        <w:t>от 28.12.2019г. №32</w:t>
      </w:r>
    </w:p>
    <w:p w:rsidR="00BF7D19" w:rsidRPr="00042D3D" w:rsidRDefault="00BF7D19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Булкаев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Э.Ш.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МУНИЦИПАЛЬНАЯ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>ПРОГРАММА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«</w:t>
      </w:r>
      <w:proofErr w:type="gramEnd"/>
      <w:r w:rsidRPr="00042D3D">
        <w:rPr>
          <w:rFonts w:ascii="Times New Roman" w:eastAsia="Times New Roman" w:hAnsi="Times New Roman" w:cs="Times New Roman"/>
          <w:lang w:eastAsia="ru-RU"/>
        </w:rPr>
        <w:t xml:space="preserve">Развитие коммунальной инфраструктуры сельских поселений </w:t>
      </w:r>
      <w:r w:rsidR="000672AB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72AB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0672AB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 муниципального района на 2020-2024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годы»</w:t>
      </w:r>
      <w:r w:rsidRPr="00042D3D">
        <w:rPr>
          <w:rFonts w:ascii="Times New Roman" w:eastAsia="Times New Roman" w:hAnsi="Times New Roman" w:cs="Times New Roman"/>
          <w:lang w:eastAsia="ru-RU"/>
        </w:rPr>
        <w:br/>
      </w:r>
      <w:r w:rsidRPr="00042D3D">
        <w:rPr>
          <w:rFonts w:ascii="Times New Roman" w:eastAsia="Times New Roman" w:hAnsi="Times New Roman" w:cs="Times New Roman"/>
          <w:lang w:eastAsia="ru-RU"/>
        </w:rPr>
        <w:br/>
        <w:t>ПАСПОРТ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муниципальной программы «Развитие коммунальной инфраструктуры</w:t>
      </w:r>
      <w:r w:rsidR="000672AB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72AB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0672AB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 муниципального района на 2020-2024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tbl>
      <w:tblPr>
        <w:tblW w:w="9468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633"/>
      </w:tblGrid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участники</w:t>
            </w:r>
          </w:p>
        </w:tc>
        <w:tc>
          <w:tcPr>
            <w:tcW w:w="6588" w:type="dxa"/>
            <w:vAlign w:val="center"/>
            <w:hideMark/>
          </w:tcPr>
          <w:p w:rsidR="00E523B1" w:rsidRPr="00042D3D" w:rsidRDefault="00203385" w:rsidP="00067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АМС </w:t>
            </w:r>
            <w:proofErr w:type="spell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Донгаронского</w:t>
            </w:r>
            <w:proofErr w:type="spellEnd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с/п. 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Отдел коммунального хозяйства, транспорта и связи администрации </w:t>
            </w:r>
            <w:r w:rsidR="000672A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 Пригородного </w:t>
            </w:r>
            <w:proofErr w:type="gramStart"/>
            <w:r w:rsidR="000672AB" w:rsidRPr="00042D3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Финансовое</w:t>
            </w:r>
            <w:proofErr w:type="gramEnd"/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администрации </w:t>
            </w:r>
            <w:r w:rsidR="000672A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Пригородного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района;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Отдел строительства и архитектуры администрации </w:t>
            </w:r>
            <w:r w:rsidR="000672A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Пригородного муниципального района;</w:t>
            </w:r>
          </w:p>
        </w:tc>
      </w:tr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6588" w:type="dxa"/>
            <w:vAlign w:val="center"/>
            <w:hideMark/>
          </w:tcPr>
          <w:p w:rsidR="00E523B1" w:rsidRPr="00042D3D" w:rsidRDefault="00E523B1" w:rsidP="00BF7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1. Государственная программа «Повышение качества жилищно-коммунального обслуживания населения »</w:t>
            </w:r>
            <w:r w:rsidR="000672AB" w:rsidRPr="00042D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2. 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3. Федеральный закон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4. Федеральный закон Российской Федерации от 07.12.2011 № 416-ФЗ «О водоснабжении и водоотведении»;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5. Федеральный закон Российской Федерации от 27.07.2010 № 190-ФЗ «О теплоснабжении»;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672A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поставляемую населению»</w:t>
            </w:r>
          </w:p>
        </w:tc>
      </w:tr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Цели и задачи Программы</w:t>
            </w:r>
          </w:p>
        </w:tc>
        <w:tc>
          <w:tcPr>
            <w:tcW w:w="6588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Цели Программы: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повышение уровня надежности, качества и эффективности работы коммунального комплекса.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Основными задачами Программы являются: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обновление и модернизация основных фондов коммунального комплекса в соответствии с современными требованиями к технологии и качеству услуг;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инженерно-техническая оптимизация коммунальных систем;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взаимосвязанное перспективное планирование развития систем;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обоснование мероприятий по комплексной реконструкции и модернизации;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повышение надежности систем и качества предоставления коммунальных услуг.</w:t>
            </w:r>
          </w:p>
        </w:tc>
      </w:tr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Комплексы мероприятий Программы</w:t>
            </w:r>
          </w:p>
        </w:tc>
        <w:tc>
          <w:tcPr>
            <w:tcW w:w="6588" w:type="dxa"/>
            <w:vAlign w:val="center"/>
            <w:hideMark/>
          </w:tcPr>
          <w:p w:rsidR="00BF7D19" w:rsidRDefault="00E523B1" w:rsidP="00DC1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комплексы мероприятий </w:t>
            </w: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Программы: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и модернизация муниципальных объектов коммунальной инфраструктуры;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экспертиза промышленной безопасности объектов;</w:t>
            </w:r>
          </w:p>
          <w:p w:rsidR="00BF7D19" w:rsidRDefault="00BF7D19" w:rsidP="00DC1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D19" w:rsidRDefault="00BF7D19" w:rsidP="00DC1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D19" w:rsidRDefault="00BF7D19" w:rsidP="00DC1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3B1" w:rsidRPr="00042D3D" w:rsidRDefault="00E523B1" w:rsidP="00DC1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специализированной техники;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резервных источников электроснабжения;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предоставление субсидий из бюджета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Пригородного 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муниципальным унитарным предприятиям коммунального комплекса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Пригородного 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на финансовое обеспечение их деятельности и (или) иного имущества, закрепленного за ними на праве хозяйственного ведения;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предоставления субсидии на возмещение убытков от применения регулируемых цен (тарифов) на тепловую энергию, поставляемую населению на территории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>Донгаронского</w:t>
            </w:r>
            <w:proofErr w:type="spellEnd"/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Пригородного 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района.</w:t>
            </w:r>
          </w:p>
        </w:tc>
      </w:tr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показатели (индикаторы) Программы</w:t>
            </w:r>
          </w:p>
        </w:tc>
        <w:tc>
          <w:tcPr>
            <w:tcW w:w="6588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отремонтированных модернизированных объектов коммунального хозяйства, </w:t>
            </w: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ед.;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приобретенного оборудования для объектов коммунальной инфраструктуры, ед.;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объектов коммунальной инфраструктуры в отношении которых проведена промышленная экспертиза, ед.;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приобретенной специализированной техники, ед.;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приобретенных резервных источников электроснабжения для объектов коммунальной инфраструктуры, ед.</w:t>
            </w:r>
          </w:p>
        </w:tc>
      </w:tr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6588" w:type="dxa"/>
            <w:vAlign w:val="center"/>
            <w:hideMark/>
          </w:tcPr>
          <w:p w:rsidR="00E523B1" w:rsidRPr="00042D3D" w:rsidRDefault="00DC1CEB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Программа реализуется с 2020 по 2024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год в один этап</w:t>
            </w:r>
          </w:p>
        </w:tc>
      </w:tr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6588" w:type="dxa"/>
            <w:vAlign w:val="center"/>
            <w:hideMark/>
          </w:tcPr>
          <w:p w:rsidR="00E523B1" w:rsidRPr="00042D3D" w:rsidRDefault="00E523B1" w:rsidP="00DC1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Ресурсное обеспечение Программы </w:t>
            </w: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203385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gramEnd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в том числе по годам и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источникам финансирования: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2020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700 тыс. рублей, в том числе: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2021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в том числе: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2022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700 тыс. рублей, в том числе: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2023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C1CEB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700 тыс. рублей, в том числе:</w:t>
            </w:r>
          </w:p>
        </w:tc>
      </w:tr>
      <w:tr w:rsidR="00E523B1" w:rsidRPr="00042D3D" w:rsidTr="00203385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88" w:type="dxa"/>
            <w:vAlign w:val="center"/>
            <w:hideMark/>
          </w:tcPr>
          <w:p w:rsidR="00E523B1" w:rsidRPr="00042D3D" w:rsidRDefault="00DC1CEB" w:rsidP="00DC1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Достижение к 2024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>году: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отремонтированных модернизированных объе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ктов коммунального хозяйства – 2 ед.;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объектов коммунальной инфраструктуры, в отношении которых прове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дена промышленная экспертиза – 1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ед.;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523B1" w:rsidRPr="00042D3D" w:rsidRDefault="00E523B1" w:rsidP="00DC1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1. Характеристика состояния коммунального хозяйства района</w:t>
      </w:r>
    </w:p>
    <w:p w:rsidR="00BF7D19" w:rsidRDefault="00E523B1" w:rsidP="00042D3D">
      <w:pPr>
        <w:spacing w:before="100" w:beforeAutospacing="1" w:after="100" w:afterAutospacing="1" w:line="240" w:lineRule="auto"/>
        <w:ind w:left="-709" w:right="-143" w:firstLine="1276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Одним из приоритетов социально-экономической политики </w:t>
      </w:r>
      <w:r w:rsidR="00DC1CEB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C1CEB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DC1CEB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</w:t>
      </w:r>
      <w:r w:rsidR="00042D3D">
        <w:rPr>
          <w:rFonts w:ascii="Times New Roman" w:eastAsia="Times New Roman" w:hAnsi="Times New Roman" w:cs="Times New Roman"/>
          <w:lang w:eastAsia="ru-RU"/>
        </w:rPr>
        <w:t>о</w:t>
      </w:r>
      <w:r w:rsidR="00DC1CEB" w:rsidRPr="00042D3D">
        <w:rPr>
          <w:rFonts w:ascii="Times New Roman" w:eastAsia="Times New Roman" w:hAnsi="Times New Roman" w:cs="Times New Roman"/>
          <w:lang w:eastAsia="ru-RU"/>
        </w:rPr>
        <w:t xml:space="preserve">дного </w:t>
      </w:r>
      <w:r w:rsidRPr="00042D3D">
        <w:rPr>
          <w:rFonts w:ascii="Times New Roman" w:eastAsia="Times New Roman" w:hAnsi="Times New Roman" w:cs="Times New Roman"/>
          <w:lang w:eastAsia="ru-RU"/>
        </w:rPr>
        <w:t>муниципального района является обеспечение комфортных условий проживания граждан и доступности коммунальных услуг для населения.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В настоящее время, в целом, деятельность коммунального комплекса района характеризуется недостаточно качественным уровнем предоставления коммунальных услуг.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Причинами возникновения этих проблем являются: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высокий уровень физического и морального износа объектов коммунальной инфраструктуры;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низкая эффективность системы управления в этом с</w:t>
      </w:r>
      <w:r w:rsidR="00DC1CEB" w:rsidRPr="00042D3D">
        <w:rPr>
          <w:rFonts w:ascii="Times New Roman" w:eastAsia="Times New Roman" w:hAnsi="Times New Roman" w:cs="Times New Roman"/>
          <w:lang w:eastAsia="ru-RU"/>
        </w:rPr>
        <w:t xml:space="preserve">екторе экономики, невозможность </w:t>
      </w:r>
      <w:r w:rsidRPr="00042D3D">
        <w:rPr>
          <w:rFonts w:ascii="Times New Roman" w:eastAsia="Times New Roman" w:hAnsi="Times New Roman" w:cs="Times New Roman"/>
          <w:lang w:eastAsia="ru-RU"/>
        </w:rPr>
        <w:t>прогнозирования спроса на коммунальные услуги;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хронический недостаток финансирования данной отрасли экономики.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Реконструкция и модернизация объектов коммунальной инфраструктуры отвечают стратегическим интересам Российской Федерации, </w:t>
      </w:r>
      <w:r w:rsidR="00DC1CEB" w:rsidRPr="00042D3D">
        <w:rPr>
          <w:rFonts w:ascii="Times New Roman" w:eastAsia="Times New Roman" w:hAnsi="Times New Roman" w:cs="Times New Roman"/>
          <w:lang w:eastAsia="ru-RU"/>
        </w:rPr>
        <w:t xml:space="preserve"> РСО-Алания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1CEB" w:rsidRPr="00042D3D">
        <w:rPr>
          <w:rFonts w:ascii="Times New Roman" w:eastAsia="Times New Roman" w:hAnsi="Times New Roman" w:cs="Times New Roman"/>
          <w:lang w:eastAsia="ru-RU"/>
        </w:rPr>
        <w:t xml:space="preserve"> Пригородного </w:t>
      </w:r>
      <w:r w:rsidRPr="00042D3D">
        <w:rPr>
          <w:rFonts w:ascii="Times New Roman" w:eastAsia="Times New Roman" w:hAnsi="Times New Roman" w:cs="Times New Roman"/>
          <w:lang w:eastAsia="ru-RU"/>
        </w:rPr>
        <w:t>муниципального района и позволят:</w:t>
      </w:r>
    </w:p>
    <w:p w:rsidR="00E523B1" w:rsidRPr="00042D3D" w:rsidRDefault="00E523B1" w:rsidP="00BF7D19">
      <w:pPr>
        <w:spacing w:before="100" w:beforeAutospacing="1" w:after="100" w:afterAutospacing="1" w:line="240" w:lineRule="auto"/>
        <w:ind w:left="-709" w:right="-143" w:firstLine="1276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- обеспечить более комфортные условия проживания населению сельских поселений путем повышения надежности функционирования систем и качества предоставляемых коммунальных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>услуг;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042D3D">
        <w:rPr>
          <w:rFonts w:ascii="Times New Roman" w:eastAsia="Times New Roman" w:hAnsi="Times New Roman" w:cs="Times New Roman"/>
          <w:lang w:eastAsia="ru-RU"/>
        </w:rPr>
        <w:t xml:space="preserve"> снизить потребление энергетических ресурсов в результате снижения потерь в процессе производства и доставки комм</w:t>
      </w:r>
      <w:r w:rsidR="00BF7D19">
        <w:rPr>
          <w:rFonts w:ascii="Times New Roman" w:eastAsia="Times New Roman" w:hAnsi="Times New Roman" w:cs="Times New Roman"/>
          <w:lang w:eastAsia="ru-RU"/>
        </w:rPr>
        <w:t>унальных ресурсов потребителям.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Система электроснабжения</w:t>
      </w:r>
      <w:r w:rsidR="00ED11F6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11F6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ED11F6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- централизованная. Крупнейшими потребителями электроэнергии в поселени</w:t>
      </w:r>
      <w:r w:rsidR="00ED11F6" w:rsidRPr="00042D3D">
        <w:rPr>
          <w:rFonts w:ascii="Times New Roman" w:eastAsia="Times New Roman" w:hAnsi="Times New Roman" w:cs="Times New Roman"/>
          <w:lang w:eastAsia="ru-RU"/>
        </w:rPr>
        <w:t>и являются</w:t>
      </w:r>
      <w:r w:rsidR="00042D3D">
        <w:rPr>
          <w:rFonts w:ascii="Times New Roman" w:eastAsia="Times New Roman" w:hAnsi="Times New Roman" w:cs="Times New Roman"/>
          <w:lang w:eastAsia="ru-RU"/>
        </w:rPr>
        <w:t xml:space="preserve"> жилищно-коммунальная сфера</w:t>
      </w:r>
      <w:r w:rsidRPr="00042D3D">
        <w:rPr>
          <w:rFonts w:ascii="Times New Roman" w:eastAsia="Times New Roman" w:hAnsi="Times New Roman" w:cs="Times New Roman"/>
          <w:lang w:eastAsia="ru-RU"/>
        </w:rPr>
        <w:t>, объекты социального и бытового обслуживания.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Объекты коммунальной электроэнергетики в границах поселений представлены понизительными трансформаторными подстанциями и распределительными электрическими сетями напряжением 0,4 и 10 </w:t>
      </w:r>
      <w:proofErr w:type="spellStart"/>
      <w:r w:rsidRPr="00042D3D"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  <w:r w:rsidRPr="00042D3D">
        <w:rPr>
          <w:rFonts w:ascii="Times New Roman" w:eastAsia="Times New Roman" w:hAnsi="Times New Roman" w:cs="Times New Roman"/>
          <w:lang w:eastAsia="ru-RU"/>
        </w:rPr>
        <w:br/>
        <w:t>Проблема в прогрессирующем износе электросетевого хозяйства, наличии бесхозяйных объектов. Необходимо строительство новых, реконструкция и техническое переоснащение существующих подстанций и линий электропередачи, замена трансформаторов.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Оптимальное решение проблемы - поэтапная передача электросетевых объектов, являющихся муниципальной собственностью в собственность организации, эксплуа</w:t>
      </w:r>
      <w:r w:rsidR="00ED11F6" w:rsidRPr="00042D3D">
        <w:rPr>
          <w:rFonts w:ascii="Times New Roman" w:eastAsia="Times New Roman" w:hAnsi="Times New Roman" w:cs="Times New Roman"/>
          <w:lang w:eastAsia="ru-RU"/>
        </w:rPr>
        <w:t>т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>ирующей электрические объекты.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Газоснабжение потребителей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F321D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осуществляется сжиженным углеводородным газом, подаваемым в присоединенную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сеть из сети газораспределения.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Обеспечение потребителей 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F321D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централизованными услугами водоснабжения осуществляет гарантирующая организация МУП «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F321D" w:rsidRPr="00042D3D">
        <w:rPr>
          <w:rFonts w:ascii="Times New Roman" w:eastAsia="Times New Roman" w:hAnsi="Times New Roman" w:cs="Times New Roman"/>
          <w:lang w:eastAsia="ru-RU"/>
        </w:rPr>
        <w:t>Камунресурсы</w:t>
      </w:r>
      <w:proofErr w:type="spellEnd"/>
      <w:r w:rsidRPr="00042D3D">
        <w:rPr>
          <w:rFonts w:ascii="Times New Roman" w:eastAsia="Times New Roman" w:hAnsi="Times New Roman" w:cs="Times New Roman"/>
          <w:lang w:eastAsia="ru-RU"/>
        </w:rPr>
        <w:t>», предоставляющая 100% услуг водоснабж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>ения и водоотведения населению</w:t>
      </w:r>
      <w:r w:rsidRPr="00042D3D">
        <w:rPr>
          <w:rFonts w:ascii="Times New Roman" w:eastAsia="Times New Roman" w:hAnsi="Times New Roman" w:cs="Times New Roman"/>
          <w:lang w:eastAsia="ru-RU"/>
        </w:rPr>
        <w:t>, учреждениям и юридическим лицам. Сооружения системы водоснабжения состоят из водозаборных скважин, водопроводных сетей, насосных станций.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Сети и сооружения водопроводно-канализационного хозяйства характери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>зуются высокой степенью износа.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Постоянный объем подачи воды приводит к заметному ослаблению напора в часы повышенного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разбора воды и к значительному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расход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>у воды</w:t>
      </w:r>
      <w:r w:rsidRPr="00042D3D">
        <w:rPr>
          <w:rFonts w:ascii="Times New Roman" w:eastAsia="Times New Roman" w:hAnsi="Times New Roman" w:cs="Times New Roman"/>
          <w:lang w:eastAsia="ru-RU"/>
        </w:rPr>
        <w:t>. Повышение давления в магистрали ведет к потерям воды на пути к потребителю и увеличивает вероят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>ность разрывов трубопровода.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Эксплуатация объектов централизованной системы водоотведения поселения не безопасна и может привести к возникновению аварийных ситуаций. Канализационные сети изношены и потеряли большую часть пропускной способности, что приводит к засорам и остановке работы отдельных участков канализационной сети. Канализационные колодцы имеют значительные разрушения. Очистные сооружения канализации не выполняют функцию по полной очистке сточных вод, что может привести к бактериальному загрязнению в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>одных источников.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br/>
        <w:t xml:space="preserve">На территории </w:t>
      </w:r>
      <w:proofErr w:type="spellStart"/>
      <w:r w:rsidR="00CF321D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поселения, не обеспеченна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системой водоотведения (частные домовладения, дома блокированной застройки, объекты социальной сферы), сброс стоков осуществляется в выгребные ямы, с последующим вывозом ассенизаторскими машинами или на рельеф. Строительство сетей централизованного водоотведения на данных территориях не планируется. В настоящее время услуга водоотведения осуществляется </w:t>
      </w:r>
      <w:proofErr w:type="spellStart"/>
      <w:r w:rsidRPr="00042D3D">
        <w:rPr>
          <w:rFonts w:ascii="Times New Roman" w:eastAsia="Times New Roman" w:hAnsi="Times New Roman" w:cs="Times New Roman"/>
          <w:lang w:eastAsia="ru-RU"/>
        </w:rPr>
        <w:t>спецавтотранспо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>ртом</w:t>
      </w:r>
      <w:proofErr w:type="spellEnd"/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МУП «</w:t>
      </w:r>
      <w:proofErr w:type="spellStart"/>
      <w:r w:rsidR="00CF321D" w:rsidRPr="00042D3D">
        <w:rPr>
          <w:rFonts w:ascii="Times New Roman" w:eastAsia="Times New Roman" w:hAnsi="Times New Roman" w:cs="Times New Roman"/>
          <w:lang w:eastAsia="ru-RU"/>
        </w:rPr>
        <w:t>Камунресурсы</w:t>
      </w:r>
      <w:proofErr w:type="spellEnd"/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Неудовлетворительное состояние коммунального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 xml:space="preserve">комплекса </w:t>
      </w:r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F321D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proofErr w:type="gramEnd"/>
      <w:r w:rsidR="00CF321D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обусловлено: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в сфере тепло-, водо-, газо-, электроснабжения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>выше;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042D3D">
        <w:rPr>
          <w:rFonts w:ascii="Times New Roman" w:eastAsia="Times New Roman" w:hAnsi="Times New Roman" w:cs="Times New Roman"/>
          <w:lang w:eastAsia="ru-RU"/>
        </w:rPr>
        <w:t xml:space="preserve"> отсутствием экономических стимулов к снижению издержек организаций коммунального комплекса при оказании коммунальных услуг;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неудовлетворительным финансовым механизмом формирования затрат и определения регулируемых цен на услуги организаций коммунального комплекса;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неразвитостью конкурентной среды.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2. Принципы и цели муниципальной политики. Задачи Программы.</w:t>
      </w:r>
    </w:p>
    <w:p w:rsidR="00042D3D" w:rsidRDefault="00E523B1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Основными целями Программы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>является: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042D3D">
        <w:rPr>
          <w:rFonts w:ascii="Times New Roman" w:eastAsia="Times New Roman" w:hAnsi="Times New Roman" w:cs="Times New Roman"/>
          <w:lang w:eastAsia="ru-RU"/>
        </w:rPr>
        <w:t xml:space="preserve"> повышение уровня надежности, качества и эффективности работы коммунального комплекса.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Основными задачами Программы являются: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обновление и модернизация основных фондов коммунального комплекса в соответствии с современными требованиями к технологии и качеству услуг;</w:t>
      </w:r>
    </w:p>
    <w:p w:rsidR="00042D3D" w:rsidRDefault="00042D3D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D3D" w:rsidRDefault="00042D3D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23B1" w:rsidRPr="00042D3D" w:rsidRDefault="00E523B1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- инженерно-техническая оптимизация коммунальных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>систем;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042D3D">
        <w:rPr>
          <w:rFonts w:ascii="Times New Roman" w:eastAsia="Times New Roman" w:hAnsi="Times New Roman" w:cs="Times New Roman"/>
          <w:lang w:eastAsia="ru-RU"/>
        </w:rPr>
        <w:t xml:space="preserve"> взаимосвязанное перспективное планирование развития систем;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обоснование мероприятий по комплексной реконструкции и модернизации;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повышение надежности систем и качества предоставления коммунальных услуг.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3. Прогноз конечных результатов реализации Программы</w:t>
      </w:r>
    </w:p>
    <w:p w:rsidR="00E523B1" w:rsidRPr="00042D3D" w:rsidRDefault="00E523B1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Выполнение спланированных ме</w:t>
      </w:r>
      <w:r w:rsidR="00042D3D">
        <w:rPr>
          <w:rFonts w:ascii="Times New Roman" w:eastAsia="Times New Roman" w:hAnsi="Times New Roman" w:cs="Times New Roman"/>
          <w:lang w:eastAsia="ru-RU"/>
        </w:rPr>
        <w:t>роприятий по повышению эффектив</w:t>
      </w:r>
      <w:r w:rsidRPr="00042D3D">
        <w:rPr>
          <w:rFonts w:ascii="Times New Roman" w:eastAsia="Times New Roman" w:hAnsi="Times New Roman" w:cs="Times New Roman"/>
          <w:lang w:eastAsia="ru-RU"/>
        </w:rPr>
        <w:t>ности функционирования работы системы коммунального хозяйства обеспечит устойчивое развития территорий</w:t>
      </w:r>
      <w:r w:rsidR="007B10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1030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7B1030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, повышения надежности предоставления коммунальных услуг. Приобретение специализированной техники, резервных источников электроснабжения, привлечение бюджетных средств на капитальный ремонт объектов электросетевого, теплового, водопроводно-канализационного хозяйства, позволит снизить уровень аварийности на объектах теплоэнергетического и коммунального хозяйства, повысить качество предоставляемых коммунальных услуг, обеспечить более комфортные условия проживания населения </w:t>
      </w:r>
      <w:proofErr w:type="spellStart"/>
      <w:r w:rsidR="00A56483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без значи</w:t>
      </w:r>
      <w:r w:rsidRPr="00042D3D">
        <w:rPr>
          <w:rFonts w:ascii="Times New Roman" w:eastAsia="Times New Roman" w:hAnsi="Times New Roman" w:cs="Times New Roman"/>
          <w:lang w:eastAsia="ru-RU"/>
        </w:rPr>
        <w:t>тельного повы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шения тарифов.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br/>
        <w:t>Достижение к 2024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году: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отремонтированных модернизированных объе</w:t>
      </w:r>
      <w:r w:rsidR="007B1030">
        <w:rPr>
          <w:rFonts w:ascii="Times New Roman" w:eastAsia="Times New Roman" w:hAnsi="Times New Roman" w:cs="Times New Roman"/>
          <w:lang w:eastAsia="ru-RU"/>
        </w:rPr>
        <w:t>ктов коммунального хозяйства – 2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ед.;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объектов коммунальной инфраструктуры, в отношении которых прове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дена промышленная экспертиза – 2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ед.;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приобретенно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й специализированной техники – 0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ед.;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приобретенных резервных источников электроснабжения для объектов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коммунальной инфраструктуры – 0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ед.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4. Сроки и этапы реализации Программы.</w:t>
      </w:r>
    </w:p>
    <w:p w:rsidR="00E523B1" w:rsidRPr="00042D3D" w:rsidRDefault="00A56483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Программа реализуется с 2020 по 2024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t xml:space="preserve"> годы в один этап.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5. Характеристика основных мероприятий Программы</w:t>
      </w:r>
    </w:p>
    <w:p w:rsidR="00E523B1" w:rsidRPr="00042D3D" w:rsidRDefault="00E523B1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Настоящая Программа включает в себя основные мероприятия по следующим направлениям: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капитальный ремонт и модернизация муниципальных объектов коммунальной инфраструктуры;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экспертиза промышленной безопасности объектов;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приобретение резервных источников электроснабжения для обеспечения бесперебойного функционирования объ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ектов коммунального назначения;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Перечень основных мероприятий Программы с указанием ответственных исполнителей, соисполнителей, сроков и непосредственных результатов их реализации приведен в Приложении № 1 к настоящей Программе.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6. Перечень показателей (индикаторов) Программы</w:t>
      </w:r>
    </w:p>
    <w:p w:rsidR="007B1030" w:rsidRDefault="00E523B1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Перечень показателей (индикаторов) Программы носит открытый характер и предусматривает возможность корректировки в случае изменения приоритетов 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56483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и финансовых средств, предусматривающих их финансирование, появления новых экономических обстоятельств.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Достижение целей и задач Программы планируется оценить по следующим показателям (индикаторам) Программы: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отремонтированных модернизированных объектов коммунального х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озяйства – 2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ед.;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приобретенного оборудования для объектов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коммунальной инфраструктуры – 2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ед.;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объектов коммунальной инфраструктуры, в отношении которых прове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дена промышленная экспертиза – 2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ед.;</w:t>
      </w:r>
    </w:p>
    <w:p w:rsidR="007B1030" w:rsidRDefault="007B1030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030" w:rsidRDefault="007B1030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23B1" w:rsidRPr="00042D3D" w:rsidRDefault="00E523B1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br/>
        <w:t>- количество приобретенной специа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лизированной техники – 0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>ед.;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042D3D">
        <w:rPr>
          <w:rFonts w:ascii="Times New Roman" w:eastAsia="Times New Roman" w:hAnsi="Times New Roman" w:cs="Times New Roman"/>
          <w:lang w:eastAsia="ru-RU"/>
        </w:rPr>
        <w:t xml:space="preserve"> количество приобретенных резервных источников электроснабжения для объектов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коммунальной инфраструктуры – 0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ед.</w:t>
      </w:r>
      <w:r w:rsidRPr="00042D3D">
        <w:rPr>
          <w:rFonts w:ascii="Times New Roman" w:eastAsia="Times New Roman" w:hAnsi="Times New Roman" w:cs="Times New Roman"/>
          <w:lang w:eastAsia="ru-RU"/>
        </w:rPr>
        <w:br/>
      </w:r>
      <w:r w:rsidR="007B10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7. Ресурсное обеспечение реализации Программы</w:t>
      </w:r>
    </w:p>
    <w:p w:rsidR="00E523B1" w:rsidRPr="00042D3D" w:rsidRDefault="00E523B1" w:rsidP="00A5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Финансовое обеспечение реализации Программы в части расходных обязательств района осуществляется за счет бюджетных ассигнований районного бюджета, а также субсидий из </w:t>
      </w:r>
      <w:r w:rsidR="007B1030">
        <w:rPr>
          <w:rFonts w:ascii="Times New Roman" w:eastAsia="Times New Roman" w:hAnsi="Times New Roman" w:cs="Times New Roman"/>
          <w:lang w:eastAsia="ru-RU"/>
        </w:rPr>
        <w:t xml:space="preserve"> республиканского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бюджета, предусмотренных на </w:t>
      </w:r>
      <w:proofErr w:type="spellStart"/>
      <w:r w:rsidRPr="00042D3D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Pr="00042D3D">
        <w:rPr>
          <w:rFonts w:ascii="Times New Roman" w:eastAsia="Times New Roman" w:hAnsi="Times New Roman" w:cs="Times New Roman"/>
          <w:lang w:eastAsia="ru-RU"/>
        </w:rPr>
        <w:t xml:space="preserve"> расходных обязательств </w:t>
      </w:r>
      <w:r w:rsidR="007B10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1030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7B1030">
        <w:rPr>
          <w:rFonts w:ascii="Times New Roman" w:eastAsia="Times New Roman" w:hAnsi="Times New Roman" w:cs="Times New Roman"/>
          <w:lang w:eastAsia="ru-RU"/>
        </w:rPr>
        <w:t xml:space="preserve"> с/п. Пригородного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района.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Общий объем фина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нсирования Программы – 2100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тыс. ру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блей, в том числе по годам: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br/>
        <w:t>2020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од –  700     тыс. рублей;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br/>
        <w:t xml:space="preserve">2021 год –  700     </w:t>
      </w:r>
      <w:r w:rsidRPr="00042D3D">
        <w:rPr>
          <w:rFonts w:ascii="Times New Roman" w:eastAsia="Times New Roman" w:hAnsi="Times New Roman" w:cs="Times New Roman"/>
          <w:lang w:eastAsia="ru-RU"/>
        </w:rPr>
        <w:t>тыс. рублей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;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br/>
        <w:t>2022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>од –  700      тыс. рублей;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br/>
        <w:t>2023 год –  700      тыс. рублей;</w:t>
      </w:r>
      <w:r w:rsidRPr="00042D3D">
        <w:rPr>
          <w:rFonts w:ascii="Times New Roman" w:eastAsia="Times New Roman" w:hAnsi="Times New Roman" w:cs="Times New Roman"/>
          <w:lang w:eastAsia="ru-RU"/>
        </w:rPr>
        <w:br/>
      </w:r>
      <w:r w:rsidR="007B10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Оценка расходов </w:t>
      </w:r>
      <w:r w:rsidR="007B1030">
        <w:rPr>
          <w:rFonts w:ascii="Times New Roman" w:eastAsia="Times New Roman" w:hAnsi="Times New Roman" w:cs="Times New Roman"/>
          <w:lang w:eastAsia="ru-RU"/>
        </w:rPr>
        <w:t>средств сельского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бюджета на 2020</w:t>
      </w:r>
      <w:r w:rsidRPr="00042D3D">
        <w:rPr>
          <w:rFonts w:ascii="Times New Roman" w:eastAsia="Times New Roman" w:hAnsi="Times New Roman" w:cs="Times New Roman"/>
          <w:lang w:eastAsia="ru-RU"/>
        </w:rPr>
        <w:t>-</w:t>
      </w:r>
      <w:r w:rsidR="007B1030">
        <w:rPr>
          <w:rFonts w:ascii="Times New Roman" w:eastAsia="Times New Roman" w:hAnsi="Times New Roman" w:cs="Times New Roman"/>
          <w:lang w:eastAsia="ru-RU"/>
        </w:rPr>
        <w:t>2024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годы дана </w:t>
      </w:r>
      <w:proofErr w:type="spellStart"/>
      <w:r w:rsidRPr="00042D3D">
        <w:rPr>
          <w:rFonts w:ascii="Times New Roman" w:eastAsia="Times New Roman" w:hAnsi="Times New Roman" w:cs="Times New Roman"/>
          <w:lang w:eastAsia="ru-RU"/>
        </w:rPr>
        <w:t>расчетно</w:t>
      </w:r>
      <w:proofErr w:type="spellEnd"/>
      <w:r w:rsidRPr="00042D3D">
        <w:rPr>
          <w:rFonts w:ascii="Times New Roman" w:eastAsia="Times New Roman" w:hAnsi="Times New Roman" w:cs="Times New Roman"/>
          <w:lang w:eastAsia="ru-RU"/>
        </w:rPr>
        <w:t xml:space="preserve">. Общий расчет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 xml:space="preserve">расходов 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proofErr w:type="gramEnd"/>
      <w:r w:rsidRPr="00042D3D">
        <w:rPr>
          <w:rFonts w:ascii="Times New Roman" w:eastAsia="Times New Roman" w:hAnsi="Times New Roman" w:cs="Times New Roman"/>
          <w:lang w:eastAsia="ru-RU"/>
        </w:rPr>
        <w:t xml:space="preserve"> бюджета может корректироваться на сумму средств 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бюджета, выделяемого на </w:t>
      </w:r>
      <w:proofErr w:type="spellStart"/>
      <w:r w:rsidRPr="00042D3D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Pr="00042D3D">
        <w:rPr>
          <w:rFonts w:ascii="Times New Roman" w:eastAsia="Times New Roman" w:hAnsi="Times New Roman" w:cs="Times New Roman"/>
          <w:lang w:eastAsia="ru-RU"/>
        </w:rPr>
        <w:t xml:space="preserve"> расходных обязательств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Пригородного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6483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района, а также исходя из фактически сложившейся экономической ситуации, с последующим внесением изменений и дополнений в Программу. Объемы бюджетного финансирования за счет средств районного бюджета уточняются при формировании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 xml:space="preserve">бюджета 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3623F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proofErr w:type="gramEnd"/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</w:t>
      </w:r>
      <w:r w:rsidR="007B1030">
        <w:rPr>
          <w:rFonts w:ascii="Times New Roman" w:eastAsia="Times New Roman" w:hAnsi="Times New Roman" w:cs="Times New Roman"/>
          <w:lang w:eastAsia="ru-RU"/>
        </w:rPr>
        <w:t>о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>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на очередной финансовый год.</w:t>
      </w:r>
      <w:r w:rsidRPr="00042D3D">
        <w:rPr>
          <w:rFonts w:ascii="Times New Roman" w:eastAsia="Times New Roman" w:hAnsi="Times New Roman" w:cs="Times New Roman"/>
          <w:lang w:eastAsia="ru-RU"/>
        </w:rPr>
        <w:br/>
      </w:r>
      <w:r w:rsidR="007B10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8. Анализ рисков реализации Программы</w:t>
      </w:r>
    </w:p>
    <w:p w:rsidR="007B1030" w:rsidRDefault="00E523B1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К внешним рискам реализации Программы можно отнести: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изменение регионального законодательства в части финансирования;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ухудшение экономической ситуации в стране и регионе и, как следствие, недостаточность объемов финансирования Программы.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Способом ограничения внешних рисков являются: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своевременное внесение изменений в Программу;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контроль за ходом выполнения мероприятий Программы и совершенствование механизма текущего управления реализацией Программы;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непрерывный мониторинг выполнения показателей Программы;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информирование населения муниципального района о ходе реализации Программы.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К внутренним рискам относятся: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технологические риски - риски связаны с высоким уровнем износа объектов коммунального хозяйства, что влечёт за собой повышенный расход ресурсов;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информационные риски – риски связаны с отсутствием или частичной недостаточностью исходной отчетной и прогнозной информации, используемой в процессе разработки и реализации Программы;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социальные риски – риски характеризуются высоким уровнем тарифов, неудовлетворительным качеством услуг, а также низкими доходами граждан.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Для снижения определенной доли внутренних рисков планируется проведение работы:</w:t>
      </w:r>
    </w:p>
    <w:p w:rsidR="007B1030" w:rsidRDefault="007B1030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23B1" w:rsidRPr="00042D3D" w:rsidRDefault="00E523B1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br/>
        <w:t>- по разъяснению населению вопросов, связанных с проведением реформ в отрасли;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направленной на использование статистических показателей, обеспечивающих объективность оценки хода и результатов реализации Программы.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Основные меры, направленные на минимизацию указанных рисков: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определение приоритетов для первоочередного финансирования;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своевременное внесение изменений в Программу.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При реализации Программы осуществляются меры, направленные на снижение последствий рисков и повышение уровня гарантированности достижения конечных результатов Программы.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В связи со значительным разнообразием природы рисков, объектов рисков, их специфики, характерной для сферы коммунального хозяйства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3623F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и страны в целом, количественная оценка факторов рисков невозможна.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Принятие мер по управлению рисками осуществляется отделом коммунального хозяйства, транспорта и связи на основе мониторинга реализации Программы и оценки ее эффективности и результативности.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9. Механизм реализации Программы</w:t>
      </w:r>
    </w:p>
    <w:p w:rsidR="00F37336" w:rsidRDefault="00E523B1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Реализация Программы осуществляется на основе законодательства Российской Федерации, действующих нормативных правовых актов в сфере жилищно-коммунального хозяйства и социально-экономического развития 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3623F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района.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Механизм реализации Программы направлен на эффективное планирование основных мероприятий, координацию действий соисполнителей и участников Программы, обеспечение контроля исполнения программных мероприятий, проведение мониторинга реализации Программы.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Управление Программой осуществляется ответственным исполнителем - отделом коммунального хозяйства, транспорта и связи администрации 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3623F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>на, в пределах полномочий</w:t>
      </w:r>
      <w:r w:rsidRPr="00042D3D">
        <w:rPr>
          <w:rFonts w:ascii="Times New Roman" w:eastAsia="Times New Roman" w:hAnsi="Times New Roman" w:cs="Times New Roman"/>
          <w:lang w:eastAsia="ru-RU"/>
        </w:rPr>
        <w:t>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В процессе реализации Программы ответственный исполнитель: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организует реализацию Программы;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несет ответственность за достижение показателей (индикаторов) Программы, а также конечных результатов ее реализации;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готовит необходимую документацию, необходимую для реализации Программы;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осуществляет ведение отчетности по реализации Программы;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совместно с соисполнителями Программы готовит годовой отчет о ходе реализации и об оценке эффективности Программы до 05 февраля года, следующего за отчетным;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запрашивает у соисполнителей сведения, необходимые для проведения мониторинга и подготовки ежемесячного и годового отчетов;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вносит по согласованию с соисполнителями Программы предложения о внесении изменений в Программу;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- размещает на </w:t>
      </w:r>
      <w:r w:rsidR="00BF7D19">
        <w:rPr>
          <w:rFonts w:ascii="Times New Roman" w:eastAsia="Times New Roman" w:hAnsi="Times New Roman" w:cs="Times New Roman"/>
          <w:lang w:eastAsia="ru-RU"/>
        </w:rPr>
        <w:t>официальном сайте администрации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в информационно-коммуникационной сети «Интернет»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Соисполнители Программы осуществляют следующие полномочия: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участвуют в разработке проекта Программы;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- осуществляют реализацию мероприятий Программы, в отношении которых они являются соисполнителями;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- вносят ответственному исполнителю Программы предложения о необходимости 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>внесения изменений в Программу;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Внесение изменений в Программу осуществляется по инициативе ответственного исполнителя и </w:t>
      </w:r>
    </w:p>
    <w:p w:rsidR="00F37336" w:rsidRDefault="00F37336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7336" w:rsidRDefault="00F37336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23B1" w:rsidRPr="00042D3D" w:rsidRDefault="00E523B1" w:rsidP="00D36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(или) соисполнителей Программы в связи с изменениями объемов выделяемых средств из бюджетов других уровней, сокращением финансирования вследствие кризисных явлений в экономике, по результатам оценки эффективности проводимых мероприятий на основе анализа показателей (индикаторов) Программы либо во исполнение поручений главы </w:t>
      </w:r>
      <w:proofErr w:type="spellStart"/>
      <w:r w:rsidR="00D3623F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D3623F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В случае изменения нормативной правовой базы в сфере реализации Программы ответственный исполнитель обеспечивает разработку нормативных правовых актов в соответствии со своими полномочиями.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Оценка эффективности реализации Программы проводится в соответствии с Порядком проведения оценки эффективности реализации муниципальных (ведомственных целевых) программ</w:t>
      </w:r>
      <w:r w:rsidR="00D3623F" w:rsidRPr="00042D3D">
        <w:rPr>
          <w:rFonts w:ascii="Times New Roman" w:eastAsia="Times New Roman" w:hAnsi="Times New Roman" w:cs="Times New Roman"/>
          <w:lang w:eastAsia="ru-RU"/>
        </w:rPr>
        <w:t>.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 </w:t>
      </w:r>
    </w:p>
    <w:p w:rsidR="00E523B1" w:rsidRDefault="00E523B1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 </w:t>
      </w: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D19" w:rsidRPr="00042D3D" w:rsidRDefault="00BF7D19" w:rsidP="00E5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0442" w:rsidRPr="00042D3D" w:rsidRDefault="00A00442" w:rsidP="00A00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ПРИЛОЖЕНИЕ № 1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br/>
        <w:t xml:space="preserve">к муниципальной </w:t>
      </w:r>
      <w:proofErr w:type="gramStart"/>
      <w:r w:rsidR="00E523B1" w:rsidRPr="00042D3D">
        <w:rPr>
          <w:rFonts w:ascii="Times New Roman" w:eastAsia="Times New Roman" w:hAnsi="Times New Roman" w:cs="Times New Roman"/>
          <w:lang w:eastAsia="ru-RU"/>
        </w:rPr>
        <w:t>программе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br/>
        <w:t>«</w:t>
      </w:r>
      <w:proofErr w:type="gramEnd"/>
      <w:r w:rsidR="00E523B1" w:rsidRPr="00042D3D">
        <w:rPr>
          <w:rFonts w:ascii="Times New Roman" w:eastAsia="Times New Roman" w:hAnsi="Times New Roman" w:cs="Times New Roman"/>
          <w:lang w:eastAsia="ru-RU"/>
        </w:rPr>
        <w:t xml:space="preserve">Развитие коммунальной инфраструктуры 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br/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E523B1" w:rsidRPr="00042D3D" w:rsidRDefault="00A00442" w:rsidP="00A00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Пригородного муниципального </w:t>
      </w:r>
      <w:r w:rsidRPr="00042D3D">
        <w:rPr>
          <w:rFonts w:ascii="Times New Roman" w:eastAsia="Times New Roman" w:hAnsi="Times New Roman" w:cs="Times New Roman"/>
          <w:lang w:eastAsia="ru-RU"/>
        </w:rPr>
        <w:br/>
        <w:t>района на 2020-2024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ПЕРЕЧЕНЬ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показателей (индикаторов) муниципальной программы «Развитие коммунальной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 xml:space="preserve">инфраструктуры </w:t>
      </w:r>
      <w:r w:rsidR="00A00442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00442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proofErr w:type="gramEnd"/>
      <w:r w:rsidR="00A00442" w:rsidRPr="00042D3D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муниципального район</w:t>
      </w:r>
      <w:r w:rsidR="00A00442" w:rsidRPr="00042D3D">
        <w:rPr>
          <w:rFonts w:ascii="Times New Roman" w:eastAsia="Times New Roman" w:hAnsi="Times New Roman" w:cs="Times New Roman"/>
          <w:lang w:eastAsia="ru-RU"/>
        </w:rPr>
        <w:t>а на 2020-2024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tbl>
      <w:tblPr>
        <w:tblW w:w="15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582"/>
        <w:gridCol w:w="1442"/>
        <w:gridCol w:w="1868"/>
        <w:gridCol w:w="1280"/>
        <w:gridCol w:w="1425"/>
        <w:gridCol w:w="1556"/>
        <w:gridCol w:w="1716"/>
      </w:tblGrid>
      <w:tr w:rsidR="00E523B1" w:rsidRPr="00042D3D" w:rsidTr="00F37336">
        <w:trPr>
          <w:tblCellSpacing w:w="15" w:type="dxa"/>
        </w:trPr>
        <w:tc>
          <w:tcPr>
            <w:tcW w:w="561" w:type="dxa"/>
            <w:vMerge w:val="restart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52" w:type="dxa"/>
            <w:vMerge w:val="restart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Наименование индикатора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38" w:type="dxa"/>
            <w:vMerge w:val="restart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5932" w:type="dxa"/>
            <w:gridSpan w:val="4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vAlign w:val="center"/>
            <w:hideMark/>
          </w:tcPr>
          <w:p w:rsidR="00E523B1" w:rsidRPr="00042D3D" w:rsidRDefault="00A00442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26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7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824" w:type="dxa"/>
            <w:gridSpan w:val="7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муниципальных объектов коммунальной инфраструктуры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55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отремонтированных модернизированных объектов коммунального хозяйства</w:t>
            </w:r>
          </w:p>
        </w:tc>
        <w:tc>
          <w:tcPr>
            <w:tcW w:w="141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838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Самостоятельный сбор</w:t>
            </w:r>
          </w:p>
        </w:tc>
        <w:tc>
          <w:tcPr>
            <w:tcW w:w="1250" w:type="dxa"/>
            <w:vAlign w:val="center"/>
            <w:hideMark/>
          </w:tcPr>
          <w:p w:rsidR="00E523B1" w:rsidRPr="00042D3D" w:rsidRDefault="00A00442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55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приобретенного оборудования для объектов коммунальной инфраструктуры</w:t>
            </w:r>
          </w:p>
        </w:tc>
        <w:tc>
          <w:tcPr>
            <w:tcW w:w="141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838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Самостоятельный сбор</w:t>
            </w:r>
          </w:p>
        </w:tc>
        <w:tc>
          <w:tcPr>
            <w:tcW w:w="1250" w:type="dxa"/>
            <w:vAlign w:val="center"/>
            <w:hideMark/>
          </w:tcPr>
          <w:p w:rsidR="00E523B1" w:rsidRPr="00042D3D" w:rsidRDefault="00A00442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824" w:type="dxa"/>
            <w:gridSpan w:val="7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Экспертиза промышленной безопасности объектов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55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коммунальной инфраструктуры, в отношении которых проведена промышленная экспертиза</w:t>
            </w:r>
          </w:p>
        </w:tc>
        <w:tc>
          <w:tcPr>
            <w:tcW w:w="141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838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Самостоятельный сбор</w:t>
            </w:r>
          </w:p>
        </w:tc>
        <w:tc>
          <w:tcPr>
            <w:tcW w:w="1250" w:type="dxa"/>
            <w:vAlign w:val="center"/>
            <w:hideMark/>
          </w:tcPr>
          <w:p w:rsidR="00E523B1" w:rsidRPr="00042D3D" w:rsidRDefault="00A00442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2" w:type="dxa"/>
            <w:vAlign w:val="center"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  <w:hideMark/>
          </w:tcPr>
          <w:p w:rsidR="00E523B1" w:rsidRPr="00042D3D" w:rsidRDefault="004D36DC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824" w:type="dxa"/>
            <w:gridSpan w:val="7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Приобретение резервных источников электроснабжения</w:t>
            </w:r>
          </w:p>
        </w:tc>
      </w:tr>
      <w:tr w:rsidR="00E523B1" w:rsidRPr="00042D3D" w:rsidTr="00F37336">
        <w:trPr>
          <w:tblCellSpacing w:w="15" w:type="dxa"/>
        </w:trPr>
        <w:tc>
          <w:tcPr>
            <w:tcW w:w="561" w:type="dxa"/>
            <w:vAlign w:val="center"/>
            <w:hideMark/>
          </w:tcPr>
          <w:p w:rsidR="00E523B1" w:rsidRPr="00042D3D" w:rsidRDefault="004D36DC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55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резервных источников электроснабжения для объектов коммунальной инфраструктуры</w:t>
            </w:r>
          </w:p>
        </w:tc>
        <w:tc>
          <w:tcPr>
            <w:tcW w:w="1412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838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proofErr w:type="spell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госзакупок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:rsidR="00E523B1" w:rsidRPr="00042D3D" w:rsidRDefault="00E523B1" w:rsidP="00F3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523B1" w:rsidRPr="00042D3D" w:rsidRDefault="00A00442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7336" w:rsidRDefault="00F37336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336" w:rsidRDefault="00F37336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336" w:rsidRDefault="00F37336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336" w:rsidRDefault="00F37336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336" w:rsidRDefault="00F37336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6DC" w:rsidRDefault="004D36DC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6DC" w:rsidRDefault="004D36DC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6DC" w:rsidRDefault="004D36DC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6DC" w:rsidRDefault="004D36DC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6DC" w:rsidRDefault="004D36DC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6DC" w:rsidRDefault="004D36DC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23B1" w:rsidRPr="00042D3D" w:rsidRDefault="00E523B1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 </w:t>
      </w:r>
    </w:p>
    <w:p w:rsidR="00E523B1" w:rsidRPr="00042D3D" w:rsidRDefault="00A00442" w:rsidP="00E52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ПРИЛОЖЕНИЕ № 2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br/>
        <w:t xml:space="preserve">к муниципальной </w:t>
      </w:r>
      <w:proofErr w:type="gramStart"/>
      <w:r w:rsidR="00E523B1" w:rsidRPr="00042D3D">
        <w:rPr>
          <w:rFonts w:ascii="Times New Roman" w:eastAsia="Times New Roman" w:hAnsi="Times New Roman" w:cs="Times New Roman"/>
          <w:lang w:eastAsia="ru-RU"/>
        </w:rPr>
        <w:t>программе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br/>
        <w:t>«</w:t>
      </w:r>
      <w:proofErr w:type="gramEnd"/>
      <w:r w:rsidR="00E523B1" w:rsidRPr="00042D3D">
        <w:rPr>
          <w:rFonts w:ascii="Times New Roman" w:eastAsia="Times New Roman" w:hAnsi="Times New Roman" w:cs="Times New Roman"/>
          <w:lang w:eastAsia="ru-RU"/>
        </w:rPr>
        <w:t xml:space="preserve">Развитие коммунальной инфраструктуры 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br/>
      </w:r>
      <w:r w:rsidR="00203385" w:rsidRPr="00042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03385" w:rsidRPr="00042D3D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r w:rsidR="00203385" w:rsidRPr="00042D3D">
        <w:rPr>
          <w:rFonts w:ascii="Times New Roman" w:eastAsia="Times New Roman" w:hAnsi="Times New Roman" w:cs="Times New Roman"/>
          <w:lang w:eastAsia="ru-RU"/>
        </w:rPr>
        <w:t xml:space="preserve"> с/п. Пригородного муниципального </w:t>
      </w:r>
      <w:r w:rsidR="00203385" w:rsidRPr="00042D3D">
        <w:rPr>
          <w:rFonts w:ascii="Times New Roman" w:eastAsia="Times New Roman" w:hAnsi="Times New Roman" w:cs="Times New Roman"/>
          <w:lang w:eastAsia="ru-RU"/>
        </w:rPr>
        <w:br/>
        <w:t>района на 2020-2024</w:t>
      </w:r>
      <w:r w:rsidR="00E523B1" w:rsidRPr="00042D3D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E523B1" w:rsidRPr="00042D3D" w:rsidRDefault="00E523B1" w:rsidP="00E5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D3D">
        <w:rPr>
          <w:rFonts w:ascii="Times New Roman" w:eastAsia="Times New Roman" w:hAnsi="Times New Roman" w:cs="Times New Roman"/>
          <w:lang w:eastAsia="ru-RU"/>
        </w:rPr>
        <w:t>ОЦЕНКА</w:t>
      </w:r>
      <w:r w:rsidRPr="00042D3D">
        <w:rPr>
          <w:rFonts w:ascii="Times New Roman" w:eastAsia="Times New Roman" w:hAnsi="Times New Roman" w:cs="Times New Roman"/>
          <w:lang w:eastAsia="ru-RU"/>
        </w:rPr>
        <w:br/>
        <w:t xml:space="preserve">степени влияния выделения дополнительных объемов ресурсов на индикаторы муниципальной программы «Развитие коммунальной </w:t>
      </w:r>
      <w:proofErr w:type="gramStart"/>
      <w:r w:rsidRPr="00042D3D">
        <w:rPr>
          <w:rFonts w:ascii="Times New Roman" w:eastAsia="Times New Roman" w:hAnsi="Times New Roman" w:cs="Times New Roman"/>
          <w:lang w:eastAsia="ru-RU"/>
        </w:rPr>
        <w:t xml:space="preserve">инфраструктуры </w:t>
      </w:r>
      <w:r w:rsidR="00F373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37336">
        <w:rPr>
          <w:rFonts w:ascii="Times New Roman" w:eastAsia="Times New Roman" w:hAnsi="Times New Roman" w:cs="Times New Roman"/>
          <w:lang w:eastAsia="ru-RU"/>
        </w:rPr>
        <w:t>Донгаронского</w:t>
      </w:r>
      <w:proofErr w:type="spellEnd"/>
      <w:proofErr w:type="gramEnd"/>
      <w:r w:rsidR="00F37336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Пригородного муниципального района на 2020-2024</w:t>
      </w:r>
      <w:r w:rsidRPr="00042D3D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482"/>
        <w:gridCol w:w="774"/>
        <w:gridCol w:w="1199"/>
        <w:gridCol w:w="1199"/>
        <w:gridCol w:w="1199"/>
        <w:gridCol w:w="1199"/>
        <w:gridCol w:w="1199"/>
        <w:gridCol w:w="1214"/>
      </w:tblGrid>
      <w:tr w:rsidR="00E523B1" w:rsidRPr="00042D3D" w:rsidTr="00E523B1">
        <w:trPr>
          <w:tblCellSpacing w:w="15" w:type="dxa"/>
        </w:trPr>
        <w:tc>
          <w:tcPr>
            <w:tcW w:w="870" w:type="dxa"/>
            <w:vMerge w:val="restart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75" w:type="dxa"/>
            <w:vMerge w:val="restart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495" w:type="dxa"/>
            <w:gridSpan w:val="6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</w:t>
            </w:r>
          </w:p>
        </w:tc>
      </w:tr>
      <w:tr w:rsidR="00E523B1" w:rsidRPr="00042D3D" w:rsidTr="00E523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2"/>
            <w:vAlign w:val="center"/>
            <w:hideMark/>
          </w:tcPr>
          <w:p w:rsidR="00E523B1" w:rsidRPr="00042D3D" w:rsidRDefault="00203385" w:rsidP="00E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20" w:type="dxa"/>
            <w:gridSpan w:val="2"/>
            <w:vAlign w:val="center"/>
            <w:hideMark/>
          </w:tcPr>
          <w:p w:rsidR="00E523B1" w:rsidRPr="00042D3D" w:rsidRDefault="00203385" w:rsidP="00E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E523B1" w:rsidRPr="00042D3D" w:rsidRDefault="00203385" w:rsidP="00E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E523B1"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E523B1" w:rsidRPr="00042D3D" w:rsidTr="00E523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Без учета дополнительных ресурсов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С учетом дополнительных ресурсов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Без учета дополнительных ресурсов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С учетом дополнительных ресурсов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Без учета дополнительных ресурсов</w:t>
            </w:r>
          </w:p>
        </w:tc>
        <w:tc>
          <w:tcPr>
            <w:tcW w:w="169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С учетом дополнительных ресурсов</w:t>
            </w: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45" w:type="dxa"/>
            <w:gridSpan w:val="8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муниципальных объектов коммунальной инфраструктуры</w:t>
            </w: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7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отремонтированных модернизированных объектов коммунального хозяйства</w:t>
            </w:r>
          </w:p>
        </w:tc>
        <w:tc>
          <w:tcPr>
            <w:tcW w:w="9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F37336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27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приобретенного оборудования для объектов коммунальной инфраструктуры</w:t>
            </w:r>
          </w:p>
        </w:tc>
        <w:tc>
          <w:tcPr>
            <w:tcW w:w="9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45" w:type="dxa"/>
            <w:gridSpan w:val="8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Экспертиза промышленной безопасности объектов</w:t>
            </w: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7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коммунальной инфраструктуры, в отношении которых проведена промышленная экспертиза</w:t>
            </w:r>
          </w:p>
        </w:tc>
        <w:tc>
          <w:tcPr>
            <w:tcW w:w="9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F37336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45" w:type="dxa"/>
            <w:gridSpan w:val="8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Приобретение специализированной техники</w:t>
            </w: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275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приобретенной </w:t>
            </w: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специализированной техники</w:t>
            </w:r>
          </w:p>
        </w:tc>
        <w:tc>
          <w:tcPr>
            <w:tcW w:w="990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4745" w:type="dxa"/>
            <w:gridSpan w:val="8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Приобретение резервных источников электроснабжения</w:t>
            </w:r>
          </w:p>
        </w:tc>
      </w:tr>
      <w:tr w:rsidR="00E523B1" w:rsidRPr="00042D3D" w:rsidTr="00E523B1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275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резервных источников электроснабжения для объектов коммунальной инфраструктуры</w:t>
            </w:r>
          </w:p>
        </w:tc>
        <w:tc>
          <w:tcPr>
            <w:tcW w:w="99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3B1" w:rsidRPr="00042D3D" w:rsidRDefault="00E523B1" w:rsidP="00E5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0630" w:rsidRDefault="00220630"/>
    <w:sectPr w:rsidR="00220630" w:rsidSect="00F3733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1"/>
    <w:rsid w:val="00042D3D"/>
    <w:rsid w:val="000672AB"/>
    <w:rsid w:val="00130A53"/>
    <w:rsid w:val="00203385"/>
    <w:rsid w:val="00220630"/>
    <w:rsid w:val="003B2A86"/>
    <w:rsid w:val="004D36DC"/>
    <w:rsid w:val="006F5322"/>
    <w:rsid w:val="007B1030"/>
    <w:rsid w:val="00A00442"/>
    <w:rsid w:val="00A56483"/>
    <w:rsid w:val="00BF7D19"/>
    <w:rsid w:val="00CF321D"/>
    <w:rsid w:val="00D3623F"/>
    <w:rsid w:val="00DC1CEB"/>
    <w:rsid w:val="00E523B1"/>
    <w:rsid w:val="00ED11F6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3855-49BC-4CC4-9051-2F16BA1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23B1"/>
  </w:style>
  <w:style w:type="character" w:customStyle="1" w:styleId="crumbs-wrap">
    <w:name w:val="crumbs-wrap"/>
    <w:basedOn w:val="a0"/>
    <w:rsid w:val="00E523B1"/>
  </w:style>
  <w:style w:type="character" w:styleId="a3">
    <w:name w:val="Hyperlink"/>
    <w:basedOn w:val="a0"/>
    <w:unhideWhenUsed/>
    <w:rsid w:val="00E523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3B1"/>
    <w:rPr>
      <w:color w:val="800080"/>
      <w:u w:val="single"/>
    </w:rPr>
  </w:style>
  <w:style w:type="character" w:customStyle="1" w:styleId="wrapper">
    <w:name w:val="wrapper"/>
    <w:basedOn w:val="a0"/>
    <w:rsid w:val="00E523B1"/>
  </w:style>
  <w:style w:type="paragraph" w:styleId="a5">
    <w:name w:val="Normal (Web)"/>
    <w:basedOn w:val="a"/>
    <w:uiPriority w:val="99"/>
    <w:semiHidden/>
    <w:unhideWhenUsed/>
    <w:rsid w:val="00E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30A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0A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0A5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A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0A5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sdongar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2020-06-02T07:04:00Z</cp:lastPrinted>
  <dcterms:created xsi:type="dcterms:W3CDTF">2020-06-02T04:52:00Z</dcterms:created>
  <dcterms:modified xsi:type="dcterms:W3CDTF">2020-06-02T07:18:00Z</dcterms:modified>
</cp:coreProperties>
</file>